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68807B" w14:textId="77777777" w:rsidR="003B2C19" w:rsidRPr="003B2C19" w:rsidRDefault="003B2C19" w:rsidP="003B2C19">
      <w:pPr>
        <w:pStyle w:val="Sinespaciado"/>
      </w:pPr>
      <w:r w:rsidRPr="003B2C19">
        <w:t>Señor</w:t>
      </w:r>
    </w:p>
    <w:p w14:paraId="0D15C800" w14:textId="1AEBC0B6" w:rsidR="003B2C19" w:rsidRPr="003B2C19" w:rsidRDefault="008055A4" w:rsidP="003B2C19">
      <w:pPr>
        <w:pStyle w:val="Sinespaciado"/>
        <w:rPr>
          <w:b/>
          <w:bCs/>
        </w:rPr>
      </w:pPr>
      <w:r>
        <w:rPr>
          <w:b/>
          <w:bCs/>
        </w:rPr>
        <w:t>NELLY PATRICIA BARRIGA GUTIERREZ</w:t>
      </w:r>
    </w:p>
    <w:p w14:paraId="17A66F42" w14:textId="77777777" w:rsidR="003B2C19" w:rsidRPr="003B2C19" w:rsidRDefault="003B2C19" w:rsidP="003B2C19">
      <w:pPr>
        <w:pStyle w:val="Sinespaciado"/>
      </w:pPr>
      <w:r w:rsidRPr="008055A4">
        <w:rPr>
          <w:highlight w:val="yellow"/>
        </w:rPr>
        <w:t>Auxiliar Administrativo 40704</w:t>
      </w:r>
    </w:p>
    <w:p w14:paraId="670706D9" w14:textId="77777777" w:rsidR="003B2C19" w:rsidRPr="003B2C19" w:rsidRDefault="003B2C19" w:rsidP="003B2C19">
      <w:pPr>
        <w:pStyle w:val="Sinespaciado"/>
      </w:pPr>
      <w:r w:rsidRPr="003B2C19">
        <w:t>Funcionario Público</w:t>
      </w:r>
    </w:p>
    <w:p w14:paraId="139EA4CD" w14:textId="77777777" w:rsidR="003B2C19" w:rsidRPr="003B2C19" w:rsidRDefault="003B2C19" w:rsidP="003B2C19">
      <w:pPr>
        <w:pStyle w:val="Sinespaciado"/>
      </w:pPr>
      <w:r w:rsidRPr="003B2C19">
        <w:t>Gobernación de Cundinamarca</w:t>
      </w:r>
    </w:p>
    <w:p w14:paraId="6DFADBDD" w14:textId="77777777" w:rsidR="00E62E9A" w:rsidRDefault="00E62E9A" w:rsidP="004E4F40">
      <w:pPr>
        <w:jc w:val="both"/>
        <w:rPr>
          <w:b/>
          <w:bCs/>
        </w:rPr>
      </w:pPr>
    </w:p>
    <w:p w14:paraId="554FF00B" w14:textId="77777777" w:rsidR="003B2C19" w:rsidRDefault="003B2C19" w:rsidP="004E4F40">
      <w:pPr>
        <w:jc w:val="both"/>
        <w:rPr>
          <w:b/>
          <w:bCs/>
        </w:rPr>
      </w:pPr>
    </w:p>
    <w:p w14:paraId="5C2E2A7F" w14:textId="5CDE3B27" w:rsidR="00782F56" w:rsidRPr="00782F56" w:rsidRDefault="00782F56" w:rsidP="004E4F40">
      <w:pPr>
        <w:jc w:val="both"/>
      </w:pPr>
      <w:r w:rsidRPr="00782F56">
        <w:rPr>
          <w:b/>
          <w:bCs/>
        </w:rPr>
        <w:t>ASUNTO:</w:t>
      </w:r>
      <w:r w:rsidRPr="00782F56">
        <w:t xml:space="preserve"> Respuesta a derecho de petición</w:t>
      </w:r>
      <w:r w:rsidR="003B2C19">
        <w:t xml:space="preserve"> </w:t>
      </w:r>
      <w:r w:rsidR="008055A4">
        <w:t>de Reconsideración</w:t>
      </w:r>
      <w:r w:rsidRPr="00782F56">
        <w:t xml:space="preserve"> – Verificación de requisitos</w:t>
      </w:r>
      <w:r w:rsidR="005C30EB">
        <w:t xml:space="preserve"> de la convocatoria del</w:t>
      </w:r>
      <w:r w:rsidRPr="00782F56">
        <w:t xml:space="preserve"> empleo</w:t>
      </w:r>
      <w:r w:rsidR="005C30EB">
        <w:t xml:space="preserve"> </w:t>
      </w:r>
      <w:r w:rsidR="005C30EB">
        <w:rPr>
          <w:b/>
          <w:bCs/>
        </w:rPr>
        <w:t>No.</w:t>
      </w:r>
      <w:r w:rsidR="005C30EB">
        <w:t xml:space="preserve"> </w:t>
      </w:r>
      <w:r w:rsidR="008055A4">
        <w:rPr>
          <w:b/>
          <w:bCs/>
        </w:rPr>
        <w:t>34</w:t>
      </w:r>
      <w:r w:rsidR="005C30EB" w:rsidRPr="005C30EB">
        <w:rPr>
          <w:b/>
          <w:bCs/>
        </w:rPr>
        <w:t xml:space="preserve"> – 202</w:t>
      </w:r>
      <w:r w:rsidR="008055A4">
        <w:rPr>
          <w:b/>
          <w:bCs/>
        </w:rPr>
        <w:t>6</w:t>
      </w:r>
      <w:r w:rsidR="005C30EB">
        <w:t xml:space="preserve">, empleo denominado </w:t>
      </w:r>
      <w:r w:rsidR="008055A4" w:rsidRPr="008055A4">
        <w:t>Profesional Universitario Código 219 Grado 05</w:t>
      </w:r>
    </w:p>
    <w:p w14:paraId="6F29B028" w14:textId="77777777" w:rsidR="005C30EB" w:rsidRDefault="005C30EB" w:rsidP="004E4F40">
      <w:pPr>
        <w:jc w:val="both"/>
      </w:pPr>
    </w:p>
    <w:p w14:paraId="34470B73" w14:textId="77777777" w:rsidR="008055A4" w:rsidRPr="008055A4" w:rsidRDefault="008055A4" w:rsidP="008055A4">
      <w:pPr>
        <w:jc w:val="both"/>
      </w:pPr>
      <w:r w:rsidRPr="008055A4">
        <w:t>En ejercicio del derecho de petición consagrado en el artículo 23 de la Constitución Política de Colombia y desarrollado por la Ley 1755 de 2015, esta entidad se permite dar respuesta a su solicitud en los siguientes términos:</w:t>
      </w:r>
    </w:p>
    <w:p w14:paraId="248F12BF" w14:textId="0A1EF527" w:rsidR="008055A4" w:rsidRPr="008055A4" w:rsidRDefault="008055A4" w:rsidP="008055A4">
      <w:pPr>
        <w:jc w:val="both"/>
      </w:pPr>
      <w:r w:rsidRPr="008055A4">
        <w:t>Respecto de su comunicación, mediante la cual solicita una nueva valoración de la respuesta previamente emitida, argumentando una presunta ausencia de motivación suficiente, esta entidad procede a emitir un pronunciamiento definitivo, claro, expreso, congruente y de fondo, conforme a las consideraciones que se exponen a continuación.</w:t>
      </w:r>
      <w:r>
        <w:t xml:space="preserve"> </w:t>
      </w:r>
    </w:p>
    <w:p w14:paraId="411BD9A9" w14:textId="77777777" w:rsidR="00B45804" w:rsidRDefault="00B45804" w:rsidP="004E4F40">
      <w:pPr>
        <w:jc w:val="both"/>
        <w:rPr>
          <w:b/>
          <w:bCs/>
        </w:rPr>
      </w:pPr>
    </w:p>
    <w:p w14:paraId="0B738ED1" w14:textId="5ED8E025" w:rsidR="008359C2" w:rsidRPr="008359C2" w:rsidRDefault="008359C2" w:rsidP="004E4F40">
      <w:pPr>
        <w:jc w:val="both"/>
        <w:rPr>
          <w:b/>
          <w:bCs/>
        </w:rPr>
      </w:pPr>
      <w:r>
        <w:rPr>
          <w:b/>
          <w:bCs/>
        </w:rPr>
        <w:t>CONFORME A LA CONSTITUCIÓN</w:t>
      </w:r>
      <w:r w:rsidR="001920EA">
        <w:rPr>
          <w:b/>
          <w:bCs/>
        </w:rPr>
        <w:t xml:space="preserve"> Y LA JURISPRUDENCIA</w:t>
      </w:r>
    </w:p>
    <w:p w14:paraId="655712AD" w14:textId="2BC25E0A" w:rsidR="004571B5" w:rsidRPr="004571B5" w:rsidRDefault="008359C2" w:rsidP="004E4F40">
      <w:pPr>
        <w:jc w:val="both"/>
      </w:pPr>
      <w:r>
        <w:t>En</w:t>
      </w:r>
      <w:r w:rsidR="004571B5" w:rsidRPr="004571B5">
        <w:t xml:space="preserve"> aplicación de los principios que rigen la función administrativa consagrados en el artículo 209 de la Constitución Política de Colombia, particularmente los de igualdad, moralidad, eficacia, economía, celeridad, imparcialidad y publicidad, esta entidad adelantó el análisis correspondiente con estricta sujeción al marco normativo vigente, garantizando la transparencia y objetividad del proceso.</w:t>
      </w:r>
    </w:p>
    <w:p w14:paraId="03BDC54A" w14:textId="7FD27DA0" w:rsidR="004571B5" w:rsidRPr="004571B5" w:rsidRDefault="004571B5" w:rsidP="004E4F40">
      <w:pPr>
        <w:jc w:val="both"/>
      </w:pPr>
      <w:r w:rsidRPr="004571B5">
        <w:t xml:space="preserve">En concordancia con lo anterior, el acceso a los empleos públicos se rige por el principio del mérito consagrado en el artículo 125 de la Constitución Política de Colombia, el cual impone la obligación de verificar el cumplimiento estricto de los requisitos previamente definidos, </w:t>
      </w:r>
      <w:r w:rsidRPr="003B2C19">
        <w:t>sin que exista margen para interpretaciones extensivas o flexibilizaciones indebidas</w:t>
      </w:r>
      <w:r w:rsidR="001920EA" w:rsidRPr="003B2C19">
        <w:t xml:space="preserve">, en </w:t>
      </w:r>
      <w:r w:rsidRPr="003B2C19">
        <w:t>este</w:t>
      </w:r>
      <w:r w:rsidRPr="004571B5">
        <w:t xml:space="preserve"> sentido, la Corte Constitucional de Colombia ha sido enfática en señalar, mediante la Sentencia </w:t>
      </w:r>
      <w:r w:rsidRPr="008359C2">
        <w:rPr>
          <w:b/>
          <w:bCs/>
        </w:rPr>
        <w:t>C-1230 de 2005</w:t>
      </w:r>
      <w:r w:rsidRPr="004571B5">
        <w:t xml:space="preserve">, que el principio del mérito constituye un eje estructural del empleo público, y </w:t>
      </w:r>
      <w:r w:rsidRPr="008359C2">
        <w:rPr>
          <w:u w:val="single"/>
        </w:rPr>
        <w:t>que los requisitos establecidos para el acceso a los cargos deben cumplirse de manera estricta, en garantía de los derechos a la igualdad y al debido proceso de todos los aspirantes</w:t>
      </w:r>
      <w:r w:rsidRPr="004571B5">
        <w:t>.</w:t>
      </w:r>
    </w:p>
    <w:p w14:paraId="22466D1E" w14:textId="77777777" w:rsidR="004571B5" w:rsidRPr="004571B5" w:rsidRDefault="004571B5" w:rsidP="004E4F40">
      <w:pPr>
        <w:jc w:val="both"/>
      </w:pPr>
      <w:r w:rsidRPr="004571B5">
        <w:lastRenderedPageBreak/>
        <w:t>De igual forma, en la Sentencia SU-446 de 2011, dicha Corporación precisó que las reglas del concurso y los requisitos fijados en los manuales de funciones “</w:t>
      </w:r>
      <w:r w:rsidRPr="001920EA">
        <w:t>son obligatorios tanto para la administración como para los participantes</w:t>
      </w:r>
      <w:r w:rsidRPr="004571B5">
        <w:t>”, y que su inobservancia vulnera los principios de transparencia, igualdad y confianza legítima.</w:t>
      </w:r>
    </w:p>
    <w:p w14:paraId="02D4EB73" w14:textId="1A60261B" w:rsidR="004571B5" w:rsidRPr="004571B5" w:rsidRDefault="001920EA" w:rsidP="004E4F40">
      <w:pPr>
        <w:jc w:val="both"/>
      </w:pPr>
      <w:r>
        <w:t>L</w:t>
      </w:r>
      <w:r w:rsidR="004571B5" w:rsidRPr="004571B5">
        <w:t>a Sentencia T-090 de 2013 reiteró que la administración no puede modificar ni inaplicar los requisitos previamente establecidos, ni realizar interpretaciones amplias que desborden su alcance, toda vez que ello implicaría un trato desigual frente a los demás aspirantes.</w:t>
      </w:r>
    </w:p>
    <w:p w14:paraId="3D593C32" w14:textId="77777777" w:rsidR="004571B5" w:rsidRPr="004571B5" w:rsidRDefault="004571B5" w:rsidP="004E4F40">
      <w:pPr>
        <w:jc w:val="both"/>
      </w:pPr>
      <w:r w:rsidRPr="004571B5">
        <w:t>Así mismo, el Consejo de Estado ha sostenido de manera reiterada que los manuales específicos de funciones y competencias laborales constituyen normas de obligatorio cumplimiento, y que los requisitos allí definidos no son susceptibles de equivalencias no previstas, ni de interpretaciones discrecionales por parte de la administración.</w:t>
      </w:r>
    </w:p>
    <w:p w14:paraId="23672475" w14:textId="77777777" w:rsidR="004571B5" w:rsidRDefault="004571B5" w:rsidP="004E4F40">
      <w:pPr>
        <w:jc w:val="both"/>
      </w:pPr>
      <w:r w:rsidRPr="004571B5">
        <w:t>En desarrollo de este marco constitucional y jurisprudencial, y de conformidad con lo dispuesto en la Ley 909 de 2004 y el Decreto 1083 de 2015, los manuales específicos de funciones constituyen el instrumento técnico que fija de manera objetiva y previa los requisitos mínimos para el desempeño de los empleos públicos, siendo estos de obligatorio cumplimiento.</w:t>
      </w:r>
    </w:p>
    <w:p w14:paraId="3D273158" w14:textId="61EA4F1B" w:rsidR="001920EA" w:rsidRPr="00436F72" w:rsidRDefault="00436F72" w:rsidP="004E4F40">
      <w:pPr>
        <w:jc w:val="both"/>
        <w:rPr>
          <w:b/>
          <w:bCs/>
        </w:rPr>
      </w:pPr>
      <w:r>
        <w:rPr>
          <w:b/>
          <w:bCs/>
        </w:rPr>
        <w:t xml:space="preserve">CRITERIO TÉCNICO CNSC </w:t>
      </w:r>
    </w:p>
    <w:p w14:paraId="6B3607E0" w14:textId="77777777" w:rsidR="00436F72" w:rsidRDefault="00782F56" w:rsidP="004E4F40">
      <w:pPr>
        <w:jc w:val="both"/>
      </w:pPr>
      <w:r w:rsidRPr="00782F56">
        <w:t>En este sentido, la Comisión Nacional del Servicio Civil ha precisado, en el marco de los acuerdos de convocatoria y lineamientos técnicos aplicables a los procesos de selección —entre ellos los Acuerdos CNSC Nos. 20181000002476 de 2018 y 20191000000036 de 2019—, que los Núcleos Básicos del Conocimiento (NBC) corresponden a una clasificación técnica de las disciplinas académicas conforme al Sistema Nacional de Información de la Educación Superior (SNIES</w:t>
      </w:r>
      <w:r w:rsidRPr="00B45804">
        <w:t>), la cual debe ser aplicada de manera estricta en las fichas de los empleos</w:t>
      </w:r>
      <w:r w:rsidRPr="00782F56">
        <w:t xml:space="preserve">. </w:t>
      </w:r>
    </w:p>
    <w:p w14:paraId="628673CC" w14:textId="453DB42D" w:rsidR="00782F56" w:rsidRDefault="00782F56" w:rsidP="004E4F40">
      <w:pPr>
        <w:jc w:val="both"/>
      </w:pPr>
      <w:r w:rsidRPr="00782F56">
        <w:t>Así mismo, ha señalado que es responsabilidad del aspirante verificar el cumplimiento de los requisitos establecidos en el Manual Específico de Funciones y Competencias Laborales, siendo estos de obligatorio cumplimiento y no susceptibles de interpretación extensiva ni de equivalencias no previstas. En consecuencia, la verificación del cumplimiento del requisito de estudio se realiza de manera objetiva frente a los NBC expresamente exigidos en la ficha del empleo, sin que sea procedente admitir afinidades o interpretaciones amplias cuando el programa académico aportado no se encuentra formalmente incluido dentro de los núcleos definidos.</w:t>
      </w:r>
    </w:p>
    <w:p w14:paraId="6B5D1582" w14:textId="146492DA" w:rsidR="00436F72" w:rsidRPr="00436F72" w:rsidRDefault="00436F72" w:rsidP="004E4F40">
      <w:pPr>
        <w:jc w:val="both"/>
        <w:rPr>
          <w:b/>
          <w:bCs/>
        </w:rPr>
      </w:pPr>
      <w:r>
        <w:rPr>
          <w:b/>
          <w:bCs/>
        </w:rPr>
        <w:t>CONFORME A LOS HECHOS DE LA PETICIÓN Y PRUEBAS ALLEGADAS</w:t>
      </w:r>
    </w:p>
    <w:p w14:paraId="6B3785AF" w14:textId="77777777" w:rsidR="00B45804" w:rsidRPr="00B45804" w:rsidRDefault="00B45804" w:rsidP="00B45804">
      <w:pPr>
        <w:jc w:val="both"/>
      </w:pPr>
      <w:r w:rsidRPr="00B45804">
        <w:t xml:space="preserve">En primer lugar, se precisa que la respuesta previamente emitida sí constituye una decisión de fondo, en tanto cumplió con los elementos exigidos por el ordenamiento jurídico: (i) </w:t>
      </w:r>
      <w:r w:rsidRPr="00B45804">
        <w:lastRenderedPageBreak/>
        <w:t>identificación de los requisitos aplicables, (ii) análisis concreto de la documentación aportada y (iii) conclusión motivada sobre el incumplimiento del requisito de estudio. En consecuencia, no se configura vulneración alguna del derecho de petición.</w:t>
      </w:r>
    </w:p>
    <w:p w14:paraId="4C10744C" w14:textId="0A789292" w:rsidR="00B45804" w:rsidRDefault="00C5212E" w:rsidP="00B45804">
      <w:pPr>
        <w:jc w:val="both"/>
      </w:pPr>
      <w:r w:rsidRPr="00C5212E">
        <w:rPr>
          <w:noProof/>
        </w:rPr>
        <w:t xml:space="preserve">En efecto, los requisitos académicos del proceso de provisión transitoria mediante encargo, bajo el proceso: Empleo </w:t>
      </w:r>
      <w:r>
        <w:rPr>
          <w:noProof/>
        </w:rPr>
        <w:t>34</w:t>
      </w:r>
      <w:r w:rsidRPr="00C5212E">
        <w:rPr>
          <w:noProof/>
        </w:rPr>
        <w:t>-202</w:t>
      </w:r>
      <w:r>
        <w:rPr>
          <w:noProof/>
        </w:rPr>
        <w:t>6</w:t>
      </w:r>
      <w:r w:rsidRPr="00C5212E">
        <w:rPr>
          <w:noProof/>
        </w:rPr>
        <w:t xml:space="preserve"> (que corresponde al empleo denominado Profesional Universitario Código 219 Grado 05, ubicado en la </w:t>
      </w:r>
      <w:r w:rsidRPr="00C5212E">
        <w:rPr>
          <w:noProof/>
          <w:highlight w:val="yellow"/>
        </w:rPr>
        <w:t>Subdirección de Control y Fiscalización perteneciente a la Dirección de Rentas y Gestión Tributaría de la Secretaría de Hacienda</w:t>
      </w:r>
      <w:r w:rsidRPr="00C5212E">
        <w:rPr>
          <w:noProof/>
        </w:rPr>
        <w:t>), se encuentran definidos de manera expresa, taxativa y restrictiva en el numeral VII de la Resolución DAFPC 24</w:t>
      </w:r>
      <w:r>
        <w:rPr>
          <w:noProof/>
        </w:rPr>
        <w:t>8</w:t>
      </w:r>
      <w:r w:rsidRPr="00C5212E">
        <w:rPr>
          <w:noProof/>
        </w:rPr>
        <w:t xml:space="preserve"> de 2025 “Por la cual se establece el Manual Específico de Funciones y de Competencias Laborales para los empleos públicos del nivel técnico de la planta del Despacho del Gobernador y de la planta global del sector central de la Administración Pública Departamental”, en donde se establecen las disciplinas académicas especificas que se requieren para el desempeño del empleo, de acuerdo con la necesidad del servicio y conforme con la clasificación de los Núcleos Básicos del Conocimiento (NBC) habilitantes de dichos programas académicos. Dichos requisitos constituyen un parámetro objetivo de verificación y no admiten interpretaciones extensivas, analógicas o discrecionales.</w:t>
      </w:r>
      <w:r>
        <w:rPr>
          <w:noProof/>
        </w:rPr>
        <w:t xml:space="preserve"> </w:t>
      </w:r>
    </w:p>
    <w:p w14:paraId="451A369C" w14:textId="6FEA06EE" w:rsidR="00B45804" w:rsidRDefault="00C5212E" w:rsidP="00B45804">
      <w:pPr>
        <w:jc w:val="both"/>
      </w:pPr>
      <w:commentRangeStart w:id="0"/>
      <w:r>
        <w:rPr>
          <w:noProof/>
        </w:rPr>
        <w:drawing>
          <wp:anchor distT="0" distB="0" distL="114300" distR="114300" simplePos="0" relativeHeight="251658240" behindDoc="0" locked="0" layoutInCell="1" allowOverlap="1" wp14:anchorId="28C94B85" wp14:editId="37A1F59A">
            <wp:simplePos x="0" y="0"/>
            <wp:positionH relativeFrom="column">
              <wp:posOffset>-80010</wp:posOffset>
            </wp:positionH>
            <wp:positionV relativeFrom="paragraph">
              <wp:posOffset>97155</wp:posOffset>
            </wp:positionV>
            <wp:extent cx="5838825" cy="2867025"/>
            <wp:effectExtent l="0" t="0" r="9525" b="9525"/>
            <wp:wrapNone/>
            <wp:docPr id="19985011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38825" cy="2867025"/>
                    </a:xfrm>
                    <a:prstGeom prst="rect">
                      <a:avLst/>
                    </a:prstGeom>
                    <a:noFill/>
                    <a:ln>
                      <a:noFill/>
                    </a:ln>
                  </pic:spPr>
                </pic:pic>
              </a:graphicData>
            </a:graphic>
            <wp14:sizeRelH relativeFrom="page">
              <wp14:pctWidth>0</wp14:pctWidth>
            </wp14:sizeRelH>
            <wp14:sizeRelV relativeFrom="page">
              <wp14:pctHeight>0</wp14:pctHeight>
            </wp14:sizeRelV>
          </wp:anchor>
        </w:drawing>
      </w:r>
      <w:commentRangeEnd w:id="0"/>
      <w:r w:rsidR="00A31618">
        <w:rPr>
          <w:rStyle w:val="Refdecomentario"/>
          <w:sz w:val="24"/>
          <w:szCs w:val="24"/>
        </w:rPr>
        <w:commentReference w:id="0"/>
      </w:r>
    </w:p>
    <w:p w14:paraId="3F57943E" w14:textId="4A5190A3" w:rsidR="00B45804" w:rsidRDefault="00B45804" w:rsidP="00B45804">
      <w:pPr>
        <w:jc w:val="both"/>
      </w:pPr>
    </w:p>
    <w:p w14:paraId="0AC19241" w14:textId="53B76B1C" w:rsidR="00B45804" w:rsidRDefault="00B45804" w:rsidP="00B45804">
      <w:pPr>
        <w:jc w:val="both"/>
      </w:pPr>
    </w:p>
    <w:p w14:paraId="11721FA2" w14:textId="108768AB" w:rsidR="00B45804" w:rsidRDefault="00B45804" w:rsidP="00B45804">
      <w:pPr>
        <w:jc w:val="both"/>
      </w:pPr>
    </w:p>
    <w:p w14:paraId="08699978" w14:textId="76F1DCB9" w:rsidR="00B45804" w:rsidRPr="00B45804" w:rsidRDefault="00B45804" w:rsidP="00B45804">
      <w:pPr>
        <w:jc w:val="both"/>
      </w:pPr>
    </w:p>
    <w:p w14:paraId="703538D5" w14:textId="20088C7B" w:rsidR="00B45804" w:rsidRDefault="00B45804" w:rsidP="00B45804">
      <w:pPr>
        <w:jc w:val="both"/>
      </w:pPr>
    </w:p>
    <w:p w14:paraId="506F08C6" w14:textId="6B5325C8" w:rsidR="00B45804" w:rsidRDefault="00B45804" w:rsidP="00B45804">
      <w:pPr>
        <w:jc w:val="both"/>
      </w:pPr>
    </w:p>
    <w:p w14:paraId="61BD8CBF" w14:textId="12A1F5DB" w:rsidR="00B45804" w:rsidRDefault="00B45804" w:rsidP="00B45804">
      <w:pPr>
        <w:jc w:val="both"/>
      </w:pPr>
    </w:p>
    <w:p w14:paraId="63CD40B4" w14:textId="1EBBD741" w:rsidR="00DF4DAE" w:rsidRDefault="00DF4DAE" w:rsidP="00B45804">
      <w:pPr>
        <w:jc w:val="both"/>
      </w:pPr>
      <w:r>
        <w:rPr>
          <w:noProof/>
        </w:rPr>
        <w:drawing>
          <wp:anchor distT="0" distB="0" distL="114300" distR="114300" simplePos="0" relativeHeight="251663360" behindDoc="0" locked="0" layoutInCell="1" allowOverlap="1" wp14:anchorId="5710BF59" wp14:editId="717D26B0">
            <wp:simplePos x="0" y="0"/>
            <wp:positionH relativeFrom="column">
              <wp:posOffset>43815</wp:posOffset>
            </wp:positionH>
            <wp:positionV relativeFrom="paragraph">
              <wp:posOffset>209550</wp:posOffset>
            </wp:positionV>
            <wp:extent cx="5229225" cy="3609975"/>
            <wp:effectExtent l="0" t="0" r="9525" b="9525"/>
            <wp:wrapNone/>
            <wp:docPr id="401339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9225" cy="3609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F5E838" w14:textId="577AB47A" w:rsidR="00DF4DAE" w:rsidRDefault="00DF4DAE" w:rsidP="00B45804">
      <w:pPr>
        <w:jc w:val="both"/>
      </w:pPr>
    </w:p>
    <w:p w14:paraId="311BD01F" w14:textId="77777777" w:rsidR="00DF4DAE" w:rsidRDefault="00DF4DAE" w:rsidP="00B45804">
      <w:pPr>
        <w:jc w:val="both"/>
      </w:pPr>
    </w:p>
    <w:p w14:paraId="50DD07EB" w14:textId="0108FA17" w:rsidR="00DF4DAE" w:rsidRDefault="00DF4DAE" w:rsidP="00B45804">
      <w:pPr>
        <w:jc w:val="both"/>
      </w:pPr>
    </w:p>
    <w:p w14:paraId="03B52A8F" w14:textId="77777777" w:rsidR="00DF4DAE" w:rsidRDefault="00DF4DAE" w:rsidP="00B45804">
      <w:pPr>
        <w:jc w:val="both"/>
      </w:pPr>
    </w:p>
    <w:p w14:paraId="0713797D" w14:textId="3CF00EE3" w:rsidR="00DF4DAE" w:rsidRDefault="00DF4DAE" w:rsidP="00B45804">
      <w:pPr>
        <w:jc w:val="both"/>
      </w:pPr>
    </w:p>
    <w:p w14:paraId="55A0EC3B" w14:textId="77777777" w:rsidR="00DF4DAE" w:rsidRDefault="00DF4DAE" w:rsidP="00B45804">
      <w:pPr>
        <w:jc w:val="both"/>
      </w:pPr>
    </w:p>
    <w:p w14:paraId="492FB874" w14:textId="77777777" w:rsidR="00DF4DAE" w:rsidRDefault="00DF4DAE" w:rsidP="00B45804">
      <w:pPr>
        <w:jc w:val="both"/>
      </w:pPr>
    </w:p>
    <w:p w14:paraId="6B30F680" w14:textId="77777777" w:rsidR="00DF4DAE" w:rsidRDefault="00DF4DAE" w:rsidP="00B45804">
      <w:pPr>
        <w:jc w:val="both"/>
      </w:pPr>
    </w:p>
    <w:p w14:paraId="1301267E" w14:textId="77777777" w:rsidR="00DF4DAE" w:rsidRDefault="00DF4DAE" w:rsidP="00B45804">
      <w:pPr>
        <w:jc w:val="both"/>
      </w:pPr>
    </w:p>
    <w:p w14:paraId="452979D8" w14:textId="77777777" w:rsidR="00DF4DAE" w:rsidRDefault="00DF4DAE" w:rsidP="00B45804">
      <w:pPr>
        <w:jc w:val="both"/>
      </w:pPr>
    </w:p>
    <w:p w14:paraId="379DA60F" w14:textId="2E2E66C6" w:rsidR="00B45804" w:rsidRDefault="00E62E9A" w:rsidP="00B45804">
      <w:pPr>
        <w:jc w:val="both"/>
      </w:pPr>
      <w:commentRangeStart w:id="1"/>
      <w:r>
        <w:rPr>
          <w:noProof/>
        </w:rPr>
        <w:drawing>
          <wp:anchor distT="0" distB="0" distL="114300" distR="114300" simplePos="0" relativeHeight="251665408" behindDoc="0" locked="0" layoutInCell="1" allowOverlap="1" wp14:anchorId="03322F65" wp14:editId="620EBE1A">
            <wp:simplePos x="0" y="0"/>
            <wp:positionH relativeFrom="column">
              <wp:posOffset>-184785</wp:posOffset>
            </wp:positionH>
            <wp:positionV relativeFrom="paragraph">
              <wp:posOffset>-381000</wp:posOffset>
            </wp:positionV>
            <wp:extent cx="5857875" cy="3133725"/>
            <wp:effectExtent l="0" t="0" r="9525" b="9525"/>
            <wp:wrapNone/>
            <wp:docPr id="9149717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71701" name="Imagen 914971701"/>
                    <pic:cNvPicPr/>
                  </pic:nvPicPr>
                  <pic:blipFill>
                    <a:blip r:embed="rId14">
                      <a:extLst>
                        <a:ext uri="{28A0092B-C50C-407E-A947-70E740481C1C}">
                          <a14:useLocalDpi xmlns:a14="http://schemas.microsoft.com/office/drawing/2010/main" val="0"/>
                        </a:ext>
                      </a:extLst>
                    </a:blip>
                    <a:stretch>
                      <a:fillRect/>
                    </a:stretch>
                  </pic:blipFill>
                  <pic:spPr>
                    <a:xfrm>
                      <a:off x="0" y="0"/>
                      <a:ext cx="5857875" cy="3133725"/>
                    </a:xfrm>
                    <a:prstGeom prst="rect">
                      <a:avLst/>
                    </a:prstGeom>
                  </pic:spPr>
                </pic:pic>
              </a:graphicData>
            </a:graphic>
            <wp14:sizeRelH relativeFrom="page">
              <wp14:pctWidth>0</wp14:pctWidth>
            </wp14:sizeRelH>
            <wp14:sizeRelV relativeFrom="page">
              <wp14:pctHeight>0</wp14:pctHeight>
            </wp14:sizeRelV>
          </wp:anchor>
        </w:drawing>
      </w:r>
      <w:commentRangeEnd w:id="1"/>
      <w:r w:rsidR="00A31618">
        <w:rPr>
          <w:rStyle w:val="Refdecomentario"/>
          <w:sz w:val="24"/>
          <w:szCs w:val="24"/>
        </w:rPr>
        <w:commentReference w:id="1"/>
      </w:r>
    </w:p>
    <w:p w14:paraId="14EFFB72" w14:textId="77777777" w:rsidR="00B45804" w:rsidRDefault="00B45804" w:rsidP="00B45804">
      <w:pPr>
        <w:jc w:val="both"/>
      </w:pPr>
    </w:p>
    <w:p w14:paraId="4587F3AD" w14:textId="77777777" w:rsidR="00B45804" w:rsidRDefault="00B45804" w:rsidP="00B45804">
      <w:pPr>
        <w:jc w:val="both"/>
      </w:pPr>
    </w:p>
    <w:p w14:paraId="7E1BFB37" w14:textId="77777777" w:rsidR="00B45804" w:rsidRDefault="00B45804" w:rsidP="00B45804">
      <w:pPr>
        <w:jc w:val="both"/>
      </w:pPr>
    </w:p>
    <w:p w14:paraId="0B74482C" w14:textId="77777777" w:rsidR="00B45804" w:rsidRDefault="00B45804" w:rsidP="00B45804">
      <w:pPr>
        <w:jc w:val="both"/>
      </w:pPr>
    </w:p>
    <w:p w14:paraId="5C0AFACF" w14:textId="77777777" w:rsidR="00B45804" w:rsidRDefault="00B45804" w:rsidP="00B45804">
      <w:pPr>
        <w:jc w:val="both"/>
      </w:pPr>
    </w:p>
    <w:p w14:paraId="6D46495B" w14:textId="77777777" w:rsidR="00B45804" w:rsidRDefault="00B45804" w:rsidP="00B45804">
      <w:pPr>
        <w:jc w:val="both"/>
      </w:pPr>
    </w:p>
    <w:p w14:paraId="0D9A74A5" w14:textId="77777777" w:rsidR="00B45804" w:rsidRDefault="00B45804" w:rsidP="00B45804">
      <w:pPr>
        <w:jc w:val="both"/>
      </w:pPr>
    </w:p>
    <w:p w14:paraId="4756ACD8" w14:textId="2F13DA00" w:rsidR="00B45804" w:rsidRDefault="00DF4DAE" w:rsidP="00B45804">
      <w:pPr>
        <w:jc w:val="both"/>
      </w:pPr>
      <w:r>
        <w:rPr>
          <w:noProof/>
        </w:rPr>
        <w:drawing>
          <wp:anchor distT="0" distB="0" distL="114300" distR="114300" simplePos="0" relativeHeight="251667456" behindDoc="0" locked="0" layoutInCell="1" allowOverlap="1" wp14:anchorId="4E761638" wp14:editId="57EE0035">
            <wp:simplePos x="0" y="0"/>
            <wp:positionH relativeFrom="column">
              <wp:posOffset>-184785</wp:posOffset>
            </wp:positionH>
            <wp:positionV relativeFrom="paragraph">
              <wp:posOffset>207010</wp:posOffset>
            </wp:positionV>
            <wp:extent cx="5857875" cy="1743075"/>
            <wp:effectExtent l="0" t="0" r="9525" b="9525"/>
            <wp:wrapNone/>
            <wp:docPr id="6994729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72967" name="Imagen 699472967"/>
                    <pic:cNvPicPr/>
                  </pic:nvPicPr>
                  <pic:blipFill>
                    <a:blip r:embed="rId15">
                      <a:extLst>
                        <a:ext uri="{28A0092B-C50C-407E-A947-70E740481C1C}">
                          <a14:useLocalDpi xmlns:a14="http://schemas.microsoft.com/office/drawing/2010/main" val="0"/>
                        </a:ext>
                      </a:extLst>
                    </a:blip>
                    <a:stretch>
                      <a:fillRect/>
                    </a:stretch>
                  </pic:blipFill>
                  <pic:spPr>
                    <a:xfrm>
                      <a:off x="0" y="0"/>
                      <a:ext cx="5857875" cy="1743075"/>
                    </a:xfrm>
                    <a:prstGeom prst="rect">
                      <a:avLst/>
                    </a:prstGeom>
                  </pic:spPr>
                </pic:pic>
              </a:graphicData>
            </a:graphic>
            <wp14:sizeRelH relativeFrom="page">
              <wp14:pctWidth>0</wp14:pctWidth>
            </wp14:sizeRelH>
            <wp14:sizeRelV relativeFrom="page">
              <wp14:pctHeight>0</wp14:pctHeight>
            </wp14:sizeRelV>
          </wp:anchor>
        </w:drawing>
      </w:r>
    </w:p>
    <w:p w14:paraId="0723B240" w14:textId="2CBEE548" w:rsidR="00B45804" w:rsidRDefault="00B45804" w:rsidP="00B45804">
      <w:pPr>
        <w:jc w:val="both"/>
      </w:pPr>
    </w:p>
    <w:p w14:paraId="0657C21B" w14:textId="0E5D5F0B" w:rsidR="00B45804" w:rsidRDefault="00B45804" w:rsidP="00B45804">
      <w:pPr>
        <w:jc w:val="both"/>
      </w:pPr>
    </w:p>
    <w:p w14:paraId="703270FB" w14:textId="77777777" w:rsidR="00B45804" w:rsidRDefault="00B45804" w:rsidP="00B45804">
      <w:pPr>
        <w:jc w:val="both"/>
      </w:pPr>
    </w:p>
    <w:p w14:paraId="63252B93" w14:textId="77777777" w:rsidR="00B45804" w:rsidRDefault="00B45804" w:rsidP="00B45804">
      <w:pPr>
        <w:jc w:val="both"/>
      </w:pPr>
    </w:p>
    <w:p w14:paraId="38BF124B" w14:textId="77777777" w:rsidR="00B45804" w:rsidRDefault="00B45804" w:rsidP="00B45804">
      <w:pPr>
        <w:jc w:val="both"/>
      </w:pPr>
    </w:p>
    <w:p w14:paraId="115EA81E" w14:textId="77777777" w:rsidR="00B45804" w:rsidRDefault="00B45804" w:rsidP="00B45804">
      <w:pPr>
        <w:jc w:val="both"/>
      </w:pPr>
    </w:p>
    <w:p w14:paraId="2E4A6CD7" w14:textId="5FEA94E2" w:rsidR="00B45804" w:rsidRPr="00B45804" w:rsidRDefault="00B45804" w:rsidP="00B45804">
      <w:pPr>
        <w:jc w:val="both"/>
      </w:pPr>
      <w:r w:rsidRPr="00B45804">
        <w:t>Bajo este marco, el análisis técnico realizado por esta administración consistió en confrontar el título aportado —</w:t>
      </w:r>
      <w:r w:rsidR="00A31618" w:rsidRPr="00A31618">
        <w:rPr>
          <w:rFonts w:ascii="Aptos" w:hAnsi="Aptos"/>
          <w:b/>
          <w:bCs/>
          <w:color w:val="000000"/>
          <w:shd w:val="clear" w:color="auto" w:fill="FFFFFF"/>
        </w:rPr>
        <w:t xml:space="preserve"> </w:t>
      </w:r>
      <w:r w:rsidR="00A31618" w:rsidRPr="00A31618">
        <w:rPr>
          <w:b/>
          <w:bCs/>
        </w:rPr>
        <w:t>Profesional en Finanzas y Negocios Multinacionales</w:t>
      </w:r>
      <w:r w:rsidR="00A31618">
        <w:rPr>
          <w:b/>
          <w:bCs/>
        </w:rPr>
        <w:t xml:space="preserve"> </w:t>
      </w:r>
      <w:r w:rsidRPr="00B45804">
        <w:t xml:space="preserve">— </w:t>
      </w:r>
      <w:r w:rsidR="00A31618" w:rsidRPr="00A31618">
        <w:t>con las disciplinas académicas exigidas en la ficha del empleo, evidenciándose de manera objetiva que no existe correspondencia directa ni específica con los programas específicos definidos, condición indispensable para acreditar el requisito</w:t>
      </w:r>
      <w:r w:rsidRPr="00B45804">
        <w:t>.</w:t>
      </w:r>
    </w:p>
    <w:p w14:paraId="783E36CA" w14:textId="12E382F0" w:rsidR="00B45804" w:rsidRDefault="00B45804" w:rsidP="00B45804">
      <w:pPr>
        <w:jc w:val="both"/>
      </w:pPr>
      <w:r w:rsidRPr="00B45804">
        <w:t xml:space="preserve">Se reitera que la pertenencia al mismo Núcleo Básico del Conocimiento (NBC) </w:t>
      </w:r>
      <w:r w:rsidRPr="00A31618">
        <w:rPr>
          <w:b/>
          <w:bCs/>
          <w:u w:val="single"/>
        </w:rPr>
        <w:t>no es suficiente</w:t>
      </w:r>
      <w:r w:rsidRPr="00B45804">
        <w:t xml:space="preserve"> para entender cumplido el requisito, toda vez que la norma exige coincidencia expresa con los programas académicos señalados. Este criterio ha sido reiterado por la </w:t>
      </w:r>
      <w:r w:rsidRPr="00B45804">
        <w:lastRenderedPageBreak/>
        <w:t>Comisión Nacional del Servicio Civil, al establecer que los NBC, conforme al SNIES, deben aplicarse de manera estricta en las fichas de empleo y no permiten equivalencias no previstas.</w:t>
      </w:r>
    </w:p>
    <w:p w14:paraId="03991FCF" w14:textId="132A62A2" w:rsidR="00A31618" w:rsidRPr="00B45804" w:rsidRDefault="00A31618" w:rsidP="00B45804">
      <w:pPr>
        <w:jc w:val="both"/>
      </w:pPr>
      <w:r w:rsidRPr="00A31618">
        <w:t>En ese sentido, la afinidad o pertenencia a un mismo núcleo básico del conocimiento constituye un criterio orientador, que no reemplaza la necesidad de acreditar de manera precisa la formación académica requerida en el Manual de Funciones y Competencias Laborales de la entidad, proyectada en este caso particular en la ficha del empleo ya mencionada, ni su correspondencia directa con las funciones del cargo. Por lo tanto, la validación del requisito debe atender a la denominación del programa académico, su contenido y su relación directa con el perfil exigido, y no únicamente a su clasificación dentro de un mismo núcleo del conocimiento.</w:t>
      </w:r>
    </w:p>
    <w:p w14:paraId="05C8D68D" w14:textId="6052E014" w:rsidR="00B45804" w:rsidRPr="00B45804" w:rsidRDefault="00B45804" w:rsidP="00B45804">
      <w:pPr>
        <w:jc w:val="both"/>
      </w:pPr>
      <w:r w:rsidRPr="00B45804">
        <w:t>En este sentido, la decisión adoptada se fundamenta en los principios de legalidad, mérito e igualdad consagrados en los artículos 125 y 209 de la Constitución Política de Colombia, los cuales obligan a la administración a verificar el cumplimiento estricto de los requisitos previamente establecidos, sin margen de flexibilización.</w:t>
      </w:r>
    </w:p>
    <w:p w14:paraId="15F3C979" w14:textId="77777777" w:rsidR="00A31618" w:rsidRDefault="00A31618" w:rsidP="00B45804">
      <w:pPr>
        <w:jc w:val="both"/>
      </w:pPr>
      <w:r w:rsidRPr="00A31618">
        <w:t>Así como la aplicación estricta de la normatividad vigente conforme el artículo 2.2.2.4.9 del Decreto 1083 de 2015, el cual refiere:</w:t>
      </w:r>
    </w:p>
    <w:p w14:paraId="0F808B18" w14:textId="4484EA2B" w:rsidR="00A31618" w:rsidRPr="00A31618" w:rsidRDefault="00A31618" w:rsidP="00A31618">
      <w:pPr>
        <w:ind w:left="851" w:right="191"/>
        <w:jc w:val="both"/>
        <w:rPr>
          <w:i/>
          <w:iCs/>
        </w:rPr>
      </w:pPr>
      <w:r w:rsidRPr="00A31618">
        <w:rPr>
          <w:i/>
          <w:iCs/>
        </w:rPr>
        <w:t xml:space="preserve"> "(...) para la provisión de los empleos de carrera, se indicarán los Núcleos Básicos del Conocimiento NBC - de acuerdo con la clasificación contenida en el Sistema Nacional de Información de la Educación Superior - SNIES, o bien </w:t>
      </w:r>
      <w:r w:rsidRPr="00A31618">
        <w:rPr>
          <w:b/>
          <w:bCs/>
          <w:i/>
          <w:iCs/>
          <w:u w:val="single"/>
        </w:rPr>
        <w:t>las disciplinas académicas o profesiones específicas que se requieran para el desempeño del empleo</w:t>
      </w:r>
      <w:r w:rsidRPr="00A31618">
        <w:rPr>
          <w:i/>
          <w:iCs/>
        </w:rPr>
        <w:t>, de las previstas en el respectivo manual específico de funciones y de competencias laborales, de acuerdo con las necesidades del servicio y de la institución". (negrilla resaltada fuera de texto)</w:t>
      </w:r>
      <w:r w:rsidRPr="00A31618">
        <w:rPr>
          <w:i/>
          <w:iCs/>
        </w:rPr>
        <w:t>.</w:t>
      </w:r>
    </w:p>
    <w:p w14:paraId="04DB99BF" w14:textId="5164C679" w:rsidR="00B45804" w:rsidRDefault="00B45804" w:rsidP="00B45804">
      <w:pPr>
        <w:jc w:val="both"/>
      </w:pPr>
      <w:r w:rsidRPr="00B45804">
        <w:t>La Corte Constitucional de Colombia, mediante la Sentencia SU-446 de 2011, ha señalado que las reglas del concurso y los requisitos de los empleos públicos son de obligatorio cumplimiento y garantizan los derechos a la igualdad y al debido proceso de todos los aspirantes, por lo que su inaplicación o flexibilización constituye una vulneración constitucional.</w:t>
      </w:r>
    </w:p>
    <w:p w14:paraId="57E4FA90" w14:textId="77777777" w:rsidR="00F514B9" w:rsidRPr="00F514B9" w:rsidRDefault="00F514B9" w:rsidP="00B45804">
      <w:pPr>
        <w:jc w:val="both"/>
        <w:rPr>
          <w:b/>
          <w:bCs/>
        </w:rPr>
      </w:pPr>
    </w:p>
    <w:p w14:paraId="2911D92B" w14:textId="77777777" w:rsidR="001920EA" w:rsidRPr="008359C2" w:rsidRDefault="001920EA" w:rsidP="004E4F40">
      <w:pPr>
        <w:jc w:val="both"/>
        <w:rPr>
          <w:b/>
          <w:bCs/>
        </w:rPr>
      </w:pPr>
      <w:r w:rsidRPr="008359C2">
        <w:rPr>
          <w:b/>
          <w:bCs/>
        </w:rPr>
        <w:t>CONFORME A LAS PETICIONES REITERATIVAS</w:t>
      </w:r>
    </w:p>
    <w:p w14:paraId="1F5BD8FC" w14:textId="77777777" w:rsidR="001920EA" w:rsidRPr="001920EA" w:rsidRDefault="001920EA" w:rsidP="004E4F40">
      <w:pPr>
        <w:jc w:val="both"/>
      </w:pPr>
      <w:r w:rsidRPr="001920EA">
        <w:t xml:space="preserve">Este despacho ha evidenciado que, en reiteradas oportunidades, usted ha presentado solicitudes con identidad sustancial de pretensiones, orientadas a obtener una decisión favorable frente a lo ya solicitado. No obstante, dichas peticiones han sido atendidas </w:t>
      </w:r>
      <w:r w:rsidRPr="001920EA">
        <w:lastRenderedPageBreak/>
        <w:t>oportunamente por esta administración mediante respuestas de fondo, claras, congruentes y debidamente motivadas, en las cuales se han expuesto las razones jurídicas que sustentan la negativa de sus pretensiones.</w:t>
      </w:r>
    </w:p>
    <w:p w14:paraId="219FFA30" w14:textId="77777777" w:rsidR="001920EA" w:rsidRPr="001920EA" w:rsidRDefault="001920EA" w:rsidP="004E4F40">
      <w:pPr>
        <w:jc w:val="both"/>
      </w:pPr>
      <w:r w:rsidRPr="001920EA">
        <w:t>Sin perjuicio de lo anterior, se observa que la solicitud actualmente presentada, si bien introduce una variación en la exposición de los hechos, mantiene inalteradas las pretensiones previamente analizadas y resueltas.</w:t>
      </w:r>
    </w:p>
    <w:p w14:paraId="114DD796" w14:textId="77777777" w:rsidR="001920EA" w:rsidRPr="001920EA" w:rsidRDefault="001920EA" w:rsidP="004E4F40">
      <w:pPr>
        <w:jc w:val="both"/>
      </w:pPr>
      <w:r w:rsidRPr="001920EA">
        <w:t>En este contexto, es pertinente señalar que el derecho de petición, consagrado en el artículo 23 de la Constitución Política de Colombia y desarrollado por la Ley 1755 de 2015, no implica para la administración la obligación de emitir decisiones favorables, ni de reabrir indefinidamente el análisis de fondo cuando ya existe un pronunciamiento previo debidamente motivado. En consecuencia, cuando las solicitudes son reiterativas y no incorporan hechos nuevos, pruebas adicionales o argumentos jurídicos distintos, la administración se encuentra facultada para remitirse a las respuestas previamente emitidas, manteniendo la decisión adoptada.</w:t>
      </w:r>
    </w:p>
    <w:p w14:paraId="7254484A" w14:textId="77777777" w:rsidR="001920EA" w:rsidRPr="001920EA" w:rsidRDefault="001920EA" w:rsidP="004E4F40">
      <w:pPr>
        <w:jc w:val="both"/>
      </w:pPr>
      <w:r w:rsidRPr="001920EA">
        <w:t>Al respecto, la Corte Constitucional de Colombia, mediante la Sentencia T-1006 de 2001, ha precisado que el ejercicio del derecho de petición no puede convertirse en un mecanismo para insistir indefinidamente en una misma solicitud sin sustento adicional, ni para obtener decisiones favorables por reiteración. Por el contrario, exige una carga mínima de argumentación que justifique un nuevo pronunciamiento de fondo.</w:t>
      </w:r>
    </w:p>
    <w:p w14:paraId="266644EE" w14:textId="77777777" w:rsidR="001920EA" w:rsidRDefault="001920EA" w:rsidP="004E4F40">
      <w:pPr>
        <w:jc w:val="both"/>
      </w:pPr>
      <w:r w:rsidRPr="001920EA">
        <w:t>En consecuencia, la ausencia de elementos nuevos en solicitudes reiteradas impide jurídicamente modificar la decisión inicialmente adoptada, en garantía de los principios de eficiencia, economía y seguridad jurídica que rigen la actuación administrativa.</w:t>
      </w:r>
    </w:p>
    <w:p w14:paraId="07771BDB" w14:textId="50540901" w:rsidR="00F514B9" w:rsidRPr="00F514B9" w:rsidRDefault="00F514B9" w:rsidP="004E4F40">
      <w:pPr>
        <w:jc w:val="both"/>
        <w:rPr>
          <w:b/>
          <w:bCs/>
        </w:rPr>
      </w:pPr>
      <w:r w:rsidRPr="00F514B9">
        <w:rPr>
          <w:b/>
          <w:bCs/>
        </w:rPr>
        <w:t xml:space="preserve">DEL ERROR TÉCNICO Y HUMANO </w:t>
      </w:r>
    </w:p>
    <w:p w14:paraId="300CF201" w14:textId="1268C76B" w:rsidR="00F514B9" w:rsidRPr="00F514B9" w:rsidRDefault="00F514B9" w:rsidP="00F514B9">
      <w:pPr>
        <w:jc w:val="both"/>
      </w:pPr>
      <w:r w:rsidRPr="00F514B9">
        <w:t>Presentamos nuestras más sinceras excusas por el error presentado durante el proceso de ofrecimiento del empleo No. 36</w:t>
      </w:r>
      <w:r w:rsidR="00E84D6B">
        <w:t>-2026</w:t>
      </w:r>
      <w:r w:rsidRPr="00F514B9">
        <w:t>, el cual obedeció a una situación de carácter técnico y humano que conllevó a pasar por alto la verificación integral del cumplimiento de los requisitos de formación académica exigidos para el citado empleo.</w:t>
      </w:r>
    </w:p>
    <w:p w14:paraId="7BACE5B4" w14:textId="77777777" w:rsidR="00F514B9" w:rsidRPr="00F514B9" w:rsidRDefault="00F514B9" w:rsidP="00F514B9">
      <w:pPr>
        <w:jc w:val="both"/>
      </w:pPr>
      <w:r w:rsidRPr="00F514B9">
        <w:t>Reconocemos que dicha circunstancia no debió presentarse y lamentamos los inconvenientes que pudo haber ocasionado. En consecuencia, esta entidad ha adoptado las medidas necesarias para fortalecer los mecanismos de verificación y control, con el fin de evitar que situaciones similares se presenten en futuros procesos y garantizar el estricto cumplimiento de los requisitos establecidos para cada empleo.</w:t>
      </w:r>
    </w:p>
    <w:p w14:paraId="11EC6551" w14:textId="77777777" w:rsidR="00F514B9" w:rsidRDefault="00F514B9" w:rsidP="004E4F40">
      <w:pPr>
        <w:jc w:val="both"/>
        <w:rPr>
          <w:b/>
          <w:bCs/>
        </w:rPr>
      </w:pPr>
    </w:p>
    <w:p w14:paraId="7F06A57E" w14:textId="77777777" w:rsidR="00E84D6B" w:rsidRDefault="00E84D6B" w:rsidP="004E4F40">
      <w:pPr>
        <w:jc w:val="both"/>
        <w:rPr>
          <w:b/>
          <w:bCs/>
        </w:rPr>
      </w:pPr>
    </w:p>
    <w:p w14:paraId="372B7F46" w14:textId="047B86BB" w:rsidR="00782F56" w:rsidRPr="00782F56" w:rsidRDefault="00782F56" w:rsidP="004E4F40">
      <w:pPr>
        <w:jc w:val="both"/>
        <w:rPr>
          <w:b/>
          <w:bCs/>
        </w:rPr>
      </w:pPr>
      <w:r w:rsidRPr="00782F56">
        <w:rPr>
          <w:b/>
          <w:bCs/>
        </w:rPr>
        <w:lastRenderedPageBreak/>
        <w:t>CONCLUSIÓN</w:t>
      </w:r>
    </w:p>
    <w:p w14:paraId="361CC4F8" w14:textId="0646F7BF" w:rsidR="00B45804" w:rsidRPr="00B45804" w:rsidRDefault="00B45804" w:rsidP="00B45804">
      <w:r w:rsidRPr="00B45804">
        <w:t xml:space="preserve">En mérito de lo expuesto, esta entidad ratifica integralmente y sin modificación alguna la decisión previamente adoptada, al evidenciarse de manera objetiva, verificable y jurídicamente sustentada que el título de </w:t>
      </w:r>
      <w:r w:rsidR="00F514B9" w:rsidRPr="00E84D6B">
        <w:rPr>
          <w:b/>
          <w:bCs/>
        </w:rPr>
        <w:t>Profesional en Finanzas y Negocios Multinacionales</w:t>
      </w:r>
      <w:r w:rsidRPr="00B45804">
        <w:t xml:space="preserve"> no cumple con los requisitos de estudio exigidos para el </w:t>
      </w:r>
      <w:r w:rsidR="00E84D6B" w:rsidRPr="00E84D6B">
        <w:t xml:space="preserve">para el proceso de provisión transitoria mediante encargo, del proceso: Empleo </w:t>
      </w:r>
      <w:r w:rsidR="00E84D6B">
        <w:t>34</w:t>
      </w:r>
      <w:r w:rsidR="00E84D6B" w:rsidRPr="00E84D6B">
        <w:t>-202</w:t>
      </w:r>
      <w:r w:rsidR="00E84D6B">
        <w:t>6</w:t>
      </w:r>
      <w:r w:rsidR="00E84D6B" w:rsidRPr="00E84D6B">
        <w:t xml:space="preserve">, denominado Profesional Universitario Código 219 Grado 05, ubicado en la </w:t>
      </w:r>
      <w:r w:rsidR="00E84D6B" w:rsidRPr="00E84D6B">
        <w:rPr>
          <w:highlight w:val="yellow"/>
        </w:rPr>
        <w:t>Subdirección de Control y Fiscalización perteneciente a la Dirección de Rentas y Gestión Tributaría de la Secretaría de Hacienda</w:t>
      </w:r>
      <w:r w:rsidRPr="00B45804">
        <w:t>.</w:t>
      </w:r>
      <w:r w:rsidR="00E84D6B">
        <w:t xml:space="preserve"> </w:t>
      </w:r>
    </w:p>
    <w:p w14:paraId="08BD26A1" w14:textId="77777777" w:rsidR="00B45804" w:rsidRPr="00B45804" w:rsidRDefault="00B45804" w:rsidP="00B45804">
      <w:r w:rsidRPr="00B45804">
        <w:t>Se deja expresa constancia de que:</w:t>
      </w:r>
    </w:p>
    <w:p w14:paraId="5B7F9B5E" w14:textId="77777777" w:rsidR="00B45804" w:rsidRPr="00B45804" w:rsidRDefault="00B45804" w:rsidP="00B45804">
      <w:pPr>
        <w:numPr>
          <w:ilvl w:val="0"/>
          <w:numId w:val="1"/>
        </w:numPr>
      </w:pPr>
      <w:r w:rsidRPr="00B45804">
        <w:t xml:space="preserve">La decisión fue adoptada con base en normas vigentes, criterios técnicos objetivos y jurisprudencia aplicable. </w:t>
      </w:r>
    </w:p>
    <w:p w14:paraId="49785DC8" w14:textId="77777777" w:rsidR="00B45804" w:rsidRPr="00B45804" w:rsidRDefault="00B45804" w:rsidP="00B45804">
      <w:pPr>
        <w:numPr>
          <w:ilvl w:val="0"/>
          <w:numId w:val="1"/>
        </w:numPr>
      </w:pPr>
      <w:r w:rsidRPr="00B45804">
        <w:t xml:space="preserve">Se garantizó el debido proceso administrativo y el derecho fundamental de petición mediante respuesta de fondo, clara, congruente y suficiente. </w:t>
      </w:r>
    </w:p>
    <w:p w14:paraId="29B2AC6E" w14:textId="77777777" w:rsidR="00B45804" w:rsidRPr="00B45804" w:rsidRDefault="00B45804" w:rsidP="00B45804">
      <w:pPr>
        <w:numPr>
          <w:ilvl w:val="0"/>
          <w:numId w:val="1"/>
        </w:numPr>
      </w:pPr>
      <w:r w:rsidRPr="00B45804">
        <w:t xml:space="preserve">No existen elementos nuevos que justifiquen la reapertura del análisis. </w:t>
      </w:r>
    </w:p>
    <w:p w14:paraId="468DCB95" w14:textId="77777777" w:rsidR="00B45804" w:rsidRPr="00B45804" w:rsidRDefault="00B45804" w:rsidP="00B45804">
      <w:r w:rsidRPr="00B45804">
        <w:t>En consecuencia, se da por agotada la actuación administrativa en sede de derecho de petición, sin perjuicio de los mecanismos judiciales que estime pertinentes.</w:t>
      </w:r>
    </w:p>
    <w:p w14:paraId="48C7E1E1" w14:textId="77777777" w:rsidR="00B45804" w:rsidRPr="00B45804" w:rsidRDefault="00B45804" w:rsidP="00B45804">
      <w:r w:rsidRPr="00B45804">
        <w:t>La presente respuesta se emite conforme a lo dispuesto en la Ley 1755 de 2015 y demás normas concordantes.</w:t>
      </w:r>
    </w:p>
    <w:p w14:paraId="5DF2EE1E" w14:textId="77777777" w:rsidR="00782F56" w:rsidRDefault="00782F56" w:rsidP="004571B5"/>
    <w:p w14:paraId="0F9AD70B" w14:textId="0FEBD500" w:rsidR="00285185" w:rsidRPr="004571B5" w:rsidRDefault="00285185" w:rsidP="004571B5"/>
    <w:sectPr w:rsidR="00285185" w:rsidRPr="004571B5">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Nicolas Emanuel Frasser Cajamarca" w:date="2026-07-23T06:58:00Z" w:initials="NF">
    <w:p w14:paraId="5B59A8C9" w14:textId="77777777" w:rsidR="00A31618" w:rsidRDefault="00A31618" w:rsidP="00A31618">
      <w:pPr>
        <w:pStyle w:val="Textocomentario"/>
      </w:pPr>
      <w:r>
        <w:rPr>
          <w:rStyle w:val="Refdecomentario"/>
        </w:rPr>
        <w:annotationRef/>
      </w:r>
      <w:r>
        <w:t>Pegar la respectiva parte del manual de funciones y subrayar la parte correspondiente también de la resolución</w:t>
      </w:r>
    </w:p>
  </w:comment>
  <w:comment w:id="1" w:author="Nicolas Emanuel Frasser Cajamarca" w:date="2026-07-23T06:59:00Z" w:initials="NF">
    <w:p w14:paraId="3F149E46" w14:textId="77777777" w:rsidR="00A31618" w:rsidRDefault="00A31618" w:rsidP="00A31618">
      <w:pPr>
        <w:pStyle w:val="Textocomentario"/>
      </w:pPr>
      <w:r>
        <w:rPr>
          <w:rStyle w:val="Refdecomentario"/>
        </w:rPr>
        <w:annotationRef/>
      </w:r>
      <w:r>
        <w:t>De igual forma la ficha del empleo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B59A8C9" w15:done="0"/>
  <w15:commentEx w15:paraId="3F149E4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31AB3F" w16cex:dateUtc="2026-07-23T11:58:00Z"/>
  <w16cex:commentExtensible w16cex:durableId="358372C8" w16cex:dateUtc="2026-07-23T11: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B59A8C9" w16cid:durableId="7131AB3F"/>
  <w16cid:commentId w16cid:paraId="3F149E46" w16cid:durableId="358372C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62659" w14:textId="77777777" w:rsidR="00453506" w:rsidRDefault="00453506" w:rsidP="00B45804">
      <w:pPr>
        <w:spacing w:after="0" w:line="240" w:lineRule="auto"/>
      </w:pPr>
      <w:r>
        <w:separator/>
      </w:r>
    </w:p>
  </w:endnote>
  <w:endnote w:type="continuationSeparator" w:id="0">
    <w:p w14:paraId="0A2807C5" w14:textId="77777777" w:rsidR="00453506" w:rsidRDefault="00453506" w:rsidP="00B458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464C8" w14:textId="77777777" w:rsidR="00453506" w:rsidRDefault="00453506" w:rsidP="00B45804">
      <w:pPr>
        <w:spacing w:after="0" w:line="240" w:lineRule="auto"/>
      </w:pPr>
      <w:r>
        <w:separator/>
      </w:r>
    </w:p>
  </w:footnote>
  <w:footnote w:type="continuationSeparator" w:id="0">
    <w:p w14:paraId="681671F3" w14:textId="77777777" w:rsidR="00453506" w:rsidRDefault="00453506" w:rsidP="00B4580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6815AF"/>
    <w:multiLevelType w:val="multilevel"/>
    <w:tmpl w:val="04F69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4240410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olas Emanuel Frasser Cajamarca">
    <w15:presenceInfo w15:providerId="AD" w15:userId="S::Nicolas.Frasser@adres.gov.co::a567df6c-2bfb-4793-883c-bc2ff3a679e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185"/>
    <w:rsid w:val="000062D1"/>
    <w:rsid w:val="001920EA"/>
    <w:rsid w:val="00285185"/>
    <w:rsid w:val="003B2C19"/>
    <w:rsid w:val="00436F72"/>
    <w:rsid w:val="00453506"/>
    <w:rsid w:val="004571B5"/>
    <w:rsid w:val="004E4F40"/>
    <w:rsid w:val="00513B98"/>
    <w:rsid w:val="00522B85"/>
    <w:rsid w:val="00566100"/>
    <w:rsid w:val="005C30EB"/>
    <w:rsid w:val="00720C0E"/>
    <w:rsid w:val="00782F56"/>
    <w:rsid w:val="00794E7F"/>
    <w:rsid w:val="008055A4"/>
    <w:rsid w:val="008359C2"/>
    <w:rsid w:val="0093775E"/>
    <w:rsid w:val="00987B1D"/>
    <w:rsid w:val="009E2D5A"/>
    <w:rsid w:val="00A31618"/>
    <w:rsid w:val="00B45804"/>
    <w:rsid w:val="00BF312E"/>
    <w:rsid w:val="00C5212E"/>
    <w:rsid w:val="00DF4DAE"/>
    <w:rsid w:val="00E62E9A"/>
    <w:rsid w:val="00E84D6B"/>
    <w:rsid w:val="00F37E5C"/>
    <w:rsid w:val="00F514B9"/>
    <w:rsid w:val="00F846A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277C0"/>
  <w15:chartTrackingRefBased/>
  <w15:docId w15:val="{58C85EA6-A21C-4611-82CF-3ACF6C1AC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8518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28518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28518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28518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28518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28518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28518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28518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28518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85185"/>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285185"/>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285185"/>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285185"/>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285185"/>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28518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8518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8518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85185"/>
    <w:rPr>
      <w:rFonts w:eastAsiaTheme="majorEastAsia" w:cstheme="majorBidi"/>
      <w:color w:val="272727" w:themeColor="text1" w:themeTint="D8"/>
    </w:rPr>
  </w:style>
  <w:style w:type="paragraph" w:styleId="Ttulo">
    <w:name w:val="Title"/>
    <w:basedOn w:val="Normal"/>
    <w:next w:val="Normal"/>
    <w:link w:val="TtuloCar"/>
    <w:uiPriority w:val="10"/>
    <w:qFormat/>
    <w:rsid w:val="0028518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8518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8518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28518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85185"/>
    <w:pPr>
      <w:spacing w:before="160"/>
      <w:jc w:val="center"/>
    </w:pPr>
    <w:rPr>
      <w:i/>
      <w:iCs/>
      <w:color w:val="404040" w:themeColor="text1" w:themeTint="BF"/>
    </w:rPr>
  </w:style>
  <w:style w:type="character" w:customStyle="1" w:styleId="CitaCar">
    <w:name w:val="Cita Car"/>
    <w:basedOn w:val="Fuentedeprrafopredeter"/>
    <w:link w:val="Cita"/>
    <w:uiPriority w:val="29"/>
    <w:rsid w:val="00285185"/>
    <w:rPr>
      <w:i/>
      <w:iCs/>
      <w:color w:val="404040" w:themeColor="text1" w:themeTint="BF"/>
    </w:rPr>
  </w:style>
  <w:style w:type="paragraph" w:styleId="Prrafodelista">
    <w:name w:val="List Paragraph"/>
    <w:basedOn w:val="Normal"/>
    <w:uiPriority w:val="34"/>
    <w:qFormat/>
    <w:rsid w:val="00285185"/>
    <w:pPr>
      <w:ind w:left="720"/>
      <w:contextualSpacing/>
    </w:pPr>
  </w:style>
  <w:style w:type="character" w:styleId="nfasisintenso">
    <w:name w:val="Intense Emphasis"/>
    <w:basedOn w:val="Fuentedeprrafopredeter"/>
    <w:uiPriority w:val="21"/>
    <w:qFormat/>
    <w:rsid w:val="00285185"/>
    <w:rPr>
      <w:i/>
      <w:iCs/>
      <w:color w:val="2F5496" w:themeColor="accent1" w:themeShade="BF"/>
    </w:rPr>
  </w:style>
  <w:style w:type="paragraph" w:styleId="Citadestacada">
    <w:name w:val="Intense Quote"/>
    <w:basedOn w:val="Normal"/>
    <w:next w:val="Normal"/>
    <w:link w:val="CitadestacadaCar"/>
    <w:uiPriority w:val="30"/>
    <w:qFormat/>
    <w:rsid w:val="0028518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285185"/>
    <w:rPr>
      <w:i/>
      <w:iCs/>
      <w:color w:val="2F5496" w:themeColor="accent1" w:themeShade="BF"/>
    </w:rPr>
  </w:style>
  <w:style w:type="character" w:styleId="Referenciaintensa">
    <w:name w:val="Intense Reference"/>
    <w:basedOn w:val="Fuentedeprrafopredeter"/>
    <w:uiPriority w:val="32"/>
    <w:qFormat/>
    <w:rsid w:val="00285185"/>
    <w:rPr>
      <w:b/>
      <w:bCs/>
      <w:smallCaps/>
      <w:color w:val="2F5496" w:themeColor="accent1" w:themeShade="BF"/>
      <w:spacing w:val="5"/>
    </w:rPr>
  </w:style>
  <w:style w:type="paragraph" w:styleId="Encabezado">
    <w:name w:val="header"/>
    <w:basedOn w:val="Normal"/>
    <w:link w:val="EncabezadoCar"/>
    <w:uiPriority w:val="99"/>
    <w:unhideWhenUsed/>
    <w:rsid w:val="00B4580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45804"/>
  </w:style>
  <w:style w:type="paragraph" w:styleId="Piedepgina">
    <w:name w:val="footer"/>
    <w:basedOn w:val="Normal"/>
    <w:link w:val="PiedepginaCar"/>
    <w:uiPriority w:val="99"/>
    <w:unhideWhenUsed/>
    <w:rsid w:val="00B4580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45804"/>
  </w:style>
  <w:style w:type="paragraph" w:styleId="Sinespaciado">
    <w:name w:val="No Spacing"/>
    <w:uiPriority w:val="1"/>
    <w:qFormat/>
    <w:rsid w:val="003B2C19"/>
    <w:pPr>
      <w:spacing w:after="0" w:line="240" w:lineRule="auto"/>
    </w:pPr>
  </w:style>
  <w:style w:type="character" w:styleId="Refdecomentario">
    <w:name w:val="annotation reference"/>
    <w:basedOn w:val="Fuentedeprrafopredeter"/>
    <w:uiPriority w:val="99"/>
    <w:semiHidden/>
    <w:unhideWhenUsed/>
    <w:rsid w:val="00A31618"/>
    <w:rPr>
      <w:sz w:val="16"/>
      <w:szCs w:val="16"/>
    </w:rPr>
  </w:style>
  <w:style w:type="paragraph" w:styleId="Textocomentario">
    <w:name w:val="annotation text"/>
    <w:basedOn w:val="Normal"/>
    <w:link w:val="TextocomentarioCar"/>
    <w:uiPriority w:val="99"/>
    <w:unhideWhenUsed/>
    <w:rsid w:val="00A31618"/>
    <w:pPr>
      <w:spacing w:line="240" w:lineRule="auto"/>
    </w:pPr>
    <w:rPr>
      <w:sz w:val="20"/>
      <w:szCs w:val="20"/>
    </w:rPr>
  </w:style>
  <w:style w:type="character" w:customStyle="1" w:styleId="TextocomentarioCar">
    <w:name w:val="Texto comentario Car"/>
    <w:basedOn w:val="Fuentedeprrafopredeter"/>
    <w:link w:val="Textocomentario"/>
    <w:uiPriority w:val="99"/>
    <w:rsid w:val="00A31618"/>
    <w:rPr>
      <w:sz w:val="20"/>
      <w:szCs w:val="20"/>
    </w:rPr>
  </w:style>
  <w:style w:type="paragraph" w:styleId="Asuntodelcomentario">
    <w:name w:val="annotation subject"/>
    <w:basedOn w:val="Textocomentario"/>
    <w:next w:val="Textocomentario"/>
    <w:link w:val="AsuntodelcomentarioCar"/>
    <w:uiPriority w:val="99"/>
    <w:semiHidden/>
    <w:unhideWhenUsed/>
    <w:rsid w:val="00A31618"/>
    <w:rPr>
      <w:b/>
      <w:bCs/>
    </w:rPr>
  </w:style>
  <w:style w:type="character" w:customStyle="1" w:styleId="AsuntodelcomentarioCar">
    <w:name w:val="Asunto del comentario Car"/>
    <w:basedOn w:val="TextocomentarioCar"/>
    <w:link w:val="Asuntodelcomentario"/>
    <w:uiPriority w:val="99"/>
    <w:semiHidden/>
    <w:rsid w:val="00A3161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4.png"/><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0FF33E-8602-4051-B809-2727ABAE0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2029</Words>
  <Characters>11160</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Emanuel Frasser Cajamarca</dc:creator>
  <cp:keywords/>
  <dc:description/>
  <cp:lastModifiedBy>Nicolas Emanuel Frasser Cajamarca</cp:lastModifiedBy>
  <cp:revision>2</cp:revision>
  <dcterms:created xsi:type="dcterms:W3CDTF">2026-07-23T12:27:00Z</dcterms:created>
  <dcterms:modified xsi:type="dcterms:W3CDTF">2026-07-23T12:27:00Z</dcterms:modified>
</cp:coreProperties>
</file>